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B1" w:rsidRDefault="009164B1">
      <w:pPr>
        <w:pStyle w:val="Title"/>
        <w:pBdr>
          <w:top w:val="double" w:sz="4" w:space="1" w:color="auto"/>
          <w:left w:val="double" w:sz="4" w:space="4" w:color="auto"/>
          <w:bottom w:val="double" w:sz="4" w:space="1" w:color="auto"/>
          <w:right w:val="double" w:sz="4" w:space="4" w:color="auto"/>
        </w:pBdr>
        <w:rPr>
          <w:sz w:val="20"/>
        </w:rPr>
      </w:pPr>
      <w:r>
        <w:rPr>
          <w:sz w:val="20"/>
        </w:rPr>
        <w:t xml:space="preserve">BOROUGH OF </w:t>
      </w:r>
      <w:smartTag w:uri="urn:schemas-microsoft-com:office:smarttags" w:element="PlaceName">
        <w:smartTag w:uri="urn:schemas-microsoft-com:office:smarttags" w:element="place">
          <w:r>
            <w:rPr>
              <w:sz w:val="20"/>
            </w:rPr>
            <w:t>MANHATTAN</w:t>
          </w:r>
        </w:smartTag>
        <w:r>
          <w:rPr>
            <w:sz w:val="20"/>
          </w:rPr>
          <w:t xml:space="preserve"> </w:t>
        </w:r>
        <w:smartTag w:uri="urn:schemas-microsoft-com:office:smarttags" w:element="PlaceType">
          <w:r>
            <w:rPr>
              <w:sz w:val="20"/>
            </w:rPr>
            <w:t>COMMUNITY COLLEGE</w:t>
          </w:r>
        </w:smartTag>
      </w:smartTag>
    </w:p>
    <w:p w:rsidR="009164B1" w:rsidRDefault="009164B1">
      <w:pPr>
        <w:pBdr>
          <w:top w:val="double" w:sz="4" w:space="1" w:color="auto"/>
          <w:left w:val="double" w:sz="4" w:space="4" w:color="auto"/>
          <w:bottom w:val="double" w:sz="4" w:space="1" w:color="auto"/>
          <w:right w:val="double" w:sz="4" w:space="4" w:color="auto"/>
        </w:pBdr>
        <w:jc w:val="center"/>
        <w:rPr>
          <w:sz w:val="20"/>
        </w:rPr>
      </w:pPr>
      <w:r>
        <w:rPr>
          <w:sz w:val="20"/>
        </w:rPr>
        <w:t>City University of New York</w:t>
      </w:r>
    </w:p>
    <w:p w:rsidR="009164B1" w:rsidRDefault="009164B1">
      <w:pPr>
        <w:jc w:val="center"/>
        <w:rPr>
          <w:b/>
          <w:bCs/>
          <w:sz w:val="22"/>
        </w:rPr>
      </w:pPr>
      <w:r>
        <w:rPr>
          <w:b/>
          <w:bCs/>
          <w:sz w:val="22"/>
        </w:rPr>
        <w:t>Business Management Department</w:t>
      </w:r>
    </w:p>
    <w:p w:rsidR="009164B1" w:rsidRPr="00617132" w:rsidRDefault="009164B1">
      <w:pPr>
        <w:jc w:val="center"/>
        <w:rPr>
          <w:b/>
          <w:bCs/>
          <w:sz w:val="16"/>
          <w:szCs w:val="16"/>
        </w:rPr>
      </w:pPr>
    </w:p>
    <w:p w:rsidR="009164B1" w:rsidRPr="00617132" w:rsidRDefault="009164B1" w:rsidP="002C6B76">
      <w:pPr>
        <w:autoSpaceDE w:val="0"/>
        <w:autoSpaceDN w:val="0"/>
        <w:adjustRightInd w:val="0"/>
        <w:rPr>
          <w:b/>
          <w:bCs/>
          <w:color w:val="000000"/>
          <w:sz w:val="22"/>
          <w:szCs w:val="22"/>
        </w:rPr>
      </w:pPr>
      <w:r w:rsidRPr="00617132">
        <w:rPr>
          <w:b/>
          <w:bCs/>
          <w:color w:val="000000"/>
          <w:sz w:val="22"/>
          <w:szCs w:val="22"/>
        </w:rPr>
        <w:t xml:space="preserve">Title of Course: </w:t>
      </w:r>
      <w:r w:rsidR="006344B8">
        <w:rPr>
          <w:b/>
          <w:bCs/>
          <w:color w:val="000000"/>
          <w:sz w:val="22"/>
          <w:szCs w:val="22"/>
        </w:rPr>
        <w:t>Introduction to Business</w:t>
      </w:r>
      <w:r w:rsidR="006344B8">
        <w:rPr>
          <w:b/>
          <w:bCs/>
          <w:color w:val="000000"/>
          <w:sz w:val="22"/>
          <w:szCs w:val="22"/>
        </w:rPr>
        <w:tab/>
        <w:t>(BUS 104)</w:t>
      </w:r>
      <w:r w:rsidR="006344B8">
        <w:rPr>
          <w:b/>
          <w:bCs/>
          <w:color w:val="000000"/>
          <w:sz w:val="22"/>
          <w:szCs w:val="22"/>
        </w:rPr>
        <w:tab/>
      </w:r>
      <w:r w:rsidR="006344B8">
        <w:rPr>
          <w:b/>
          <w:bCs/>
          <w:color w:val="000000"/>
          <w:sz w:val="22"/>
          <w:szCs w:val="22"/>
        </w:rPr>
        <w:tab/>
      </w:r>
      <w:r w:rsidR="006344B8">
        <w:rPr>
          <w:b/>
          <w:bCs/>
          <w:color w:val="000000"/>
          <w:sz w:val="22"/>
          <w:szCs w:val="22"/>
        </w:rPr>
        <w:tab/>
      </w:r>
      <w:r w:rsidR="006344B8">
        <w:rPr>
          <w:b/>
          <w:bCs/>
          <w:color w:val="000000"/>
          <w:sz w:val="22"/>
          <w:szCs w:val="22"/>
        </w:rPr>
        <w:tab/>
        <w:t xml:space="preserve">        </w:t>
      </w:r>
      <w:r w:rsidRPr="00617132">
        <w:rPr>
          <w:b/>
          <w:bCs/>
          <w:color w:val="000000"/>
          <w:sz w:val="22"/>
          <w:szCs w:val="22"/>
        </w:rPr>
        <w:t>Semester:</w:t>
      </w:r>
      <w:r w:rsidR="00895BDB">
        <w:rPr>
          <w:b/>
          <w:bCs/>
          <w:color w:val="000000"/>
          <w:sz w:val="22"/>
          <w:szCs w:val="22"/>
        </w:rPr>
        <w:t xml:space="preserve"> Fall</w:t>
      </w:r>
      <w:bookmarkStart w:id="0" w:name="_GoBack"/>
      <w:bookmarkEnd w:id="0"/>
      <w:r w:rsidR="00DE7660">
        <w:rPr>
          <w:b/>
          <w:bCs/>
          <w:color w:val="000000"/>
          <w:sz w:val="22"/>
          <w:szCs w:val="22"/>
        </w:rPr>
        <w:t xml:space="preserve"> 2016</w:t>
      </w:r>
    </w:p>
    <w:p w:rsidR="009164B1" w:rsidRPr="005318A4" w:rsidRDefault="009164B1" w:rsidP="002C6B76">
      <w:pPr>
        <w:autoSpaceDE w:val="0"/>
        <w:autoSpaceDN w:val="0"/>
        <w:adjustRightInd w:val="0"/>
        <w:rPr>
          <w:b/>
          <w:bCs/>
          <w:color w:val="000000"/>
          <w:sz w:val="16"/>
          <w:szCs w:val="16"/>
        </w:rPr>
      </w:pPr>
      <w:r w:rsidRPr="00617132">
        <w:rPr>
          <w:b/>
          <w:bCs/>
          <w:color w:val="000000"/>
          <w:sz w:val="22"/>
          <w:szCs w:val="22"/>
        </w:rPr>
        <w:tab/>
      </w:r>
      <w:r w:rsidRPr="00617132">
        <w:rPr>
          <w:b/>
          <w:bCs/>
          <w:color w:val="000000"/>
          <w:sz w:val="22"/>
          <w:szCs w:val="22"/>
        </w:rPr>
        <w:tab/>
      </w:r>
      <w:r w:rsidRPr="00617132">
        <w:rPr>
          <w:b/>
          <w:bCs/>
          <w:color w:val="000000"/>
          <w:sz w:val="22"/>
          <w:szCs w:val="22"/>
        </w:rPr>
        <w:tab/>
      </w:r>
      <w:r>
        <w:rPr>
          <w:b/>
          <w:bCs/>
          <w:color w:val="000000"/>
          <w:sz w:val="20"/>
          <w:szCs w:val="20"/>
        </w:rPr>
        <w:t xml:space="preserve">  </w:t>
      </w:r>
      <w:r>
        <w:rPr>
          <w:b/>
          <w:bCs/>
          <w:color w:val="000000"/>
          <w:sz w:val="20"/>
          <w:szCs w:val="20"/>
        </w:rPr>
        <w:tab/>
      </w:r>
      <w:r>
        <w:rPr>
          <w:b/>
          <w:bCs/>
          <w:color w:val="000000"/>
          <w:sz w:val="20"/>
          <w:szCs w:val="20"/>
        </w:rPr>
        <w:tab/>
      </w:r>
      <w:r w:rsidR="00020F56">
        <w:rPr>
          <w:b/>
          <w:bCs/>
          <w:color w:val="000000"/>
          <w:sz w:val="20"/>
          <w:szCs w:val="20"/>
        </w:rPr>
        <w:t xml:space="preserve">                                                                                               </w:t>
      </w:r>
      <w:r w:rsidR="00020F56">
        <w:rPr>
          <w:b/>
          <w:bCs/>
          <w:color w:val="000000"/>
          <w:sz w:val="22"/>
          <w:szCs w:val="22"/>
        </w:rPr>
        <w:t>Class Hours: 3/</w:t>
      </w:r>
      <w:r w:rsidR="00020F56" w:rsidRPr="00C4222B">
        <w:rPr>
          <w:b/>
          <w:bCs/>
          <w:color w:val="000000"/>
          <w:sz w:val="22"/>
          <w:szCs w:val="22"/>
        </w:rPr>
        <w:t xml:space="preserve"> </w:t>
      </w:r>
      <w:r w:rsidR="00020F56" w:rsidRPr="00617132">
        <w:rPr>
          <w:b/>
          <w:bCs/>
          <w:color w:val="000000"/>
          <w:sz w:val="22"/>
          <w:szCs w:val="22"/>
        </w:rPr>
        <w:t>Credits:</w:t>
      </w:r>
      <w:r w:rsidR="00F552EF">
        <w:rPr>
          <w:b/>
          <w:bCs/>
          <w:color w:val="000000"/>
          <w:sz w:val="22"/>
          <w:szCs w:val="22"/>
        </w:rPr>
        <w:t xml:space="preserve"> 3</w:t>
      </w:r>
      <w:r w:rsidR="00020F56" w:rsidRPr="00617132">
        <w:rPr>
          <w:b/>
          <w:bCs/>
          <w:color w:val="000000"/>
          <w:sz w:val="22"/>
          <w:szCs w:val="22"/>
        </w:rPr>
        <w:t xml:space="preserve"> </w:t>
      </w:r>
      <w:r w:rsidR="005318A4">
        <w:rPr>
          <w:b/>
          <w:bCs/>
          <w:color w:val="000000"/>
          <w:sz w:val="22"/>
          <w:szCs w:val="22"/>
        </w:rPr>
        <w:t>Professor</w:t>
      </w:r>
      <w:r>
        <w:rPr>
          <w:b/>
          <w:bCs/>
          <w:color w:val="000000"/>
          <w:sz w:val="20"/>
          <w:szCs w:val="20"/>
        </w:rPr>
        <w:t>:</w:t>
      </w:r>
    </w:p>
    <w:p w:rsidR="00F552EF" w:rsidRDefault="005318A4" w:rsidP="002C6B76">
      <w:pPr>
        <w:autoSpaceDE w:val="0"/>
        <w:autoSpaceDN w:val="0"/>
        <w:adjustRightInd w:val="0"/>
        <w:rPr>
          <w:b/>
          <w:bCs/>
          <w:color w:val="000000"/>
          <w:sz w:val="20"/>
          <w:szCs w:val="20"/>
        </w:rPr>
      </w:pPr>
      <w:r>
        <w:rPr>
          <w:b/>
          <w:bCs/>
          <w:color w:val="000000"/>
          <w:sz w:val="20"/>
          <w:szCs w:val="20"/>
        </w:rPr>
        <w:t>Tel #: 212-220-</w:t>
      </w:r>
      <w:r w:rsidR="003339B9">
        <w:rPr>
          <w:b/>
          <w:bCs/>
          <w:color w:val="000000"/>
          <w:sz w:val="20"/>
          <w:szCs w:val="20"/>
        </w:rPr>
        <w:t>8205</w:t>
      </w:r>
      <w:r w:rsidR="009164B1">
        <w:rPr>
          <w:b/>
          <w:bCs/>
          <w:color w:val="000000"/>
          <w:sz w:val="20"/>
          <w:szCs w:val="20"/>
        </w:rPr>
        <w:t xml:space="preserve">           </w:t>
      </w:r>
      <w:r w:rsidR="009164B1" w:rsidRPr="00E612C0">
        <w:rPr>
          <w:b/>
          <w:bCs/>
          <w:color w:val="000000"/>
          <w:sz w:val="20"/>
          <w:szCs w:val="20"/>
        </w:rPr>
        <w:t xml:space="preserve"> </w:t>
      </w:r>
    </w:p>
    <w:p w:rsidR="00F552EF" w:rsidRDefault="005318A4" w:rsidP="002C6B76">
      <w:pPr>
        <w:autoSpaceDE w:val="0"/>
        <w:autoSpaceDN w:val="0"/>
        <w:adjustRightInd w:val="0"/>
        <w:rPr>
          <w:b/>
          <w:bCs/>
          <w:color w:val="000000"/>
          <w:sz w:val="20"/>
          <w:szCs w:val="20"/>
        </w:rPr>
      </w:pPr>
      <w:r>
        <w:rPr>
          <w:b/>
          <w:bCs/>
          <w:color w:val="000000"/>
          <w:sz w:val="20"/>
          <w:szCs w:val="20"/>
        </w:rPr>
        <w:t xml:space="preserve">Office: </w:t>
      </w:r>
      <w:r w:rsidR="009A66AF">
        <w:rPr>
          <w:b/>
          <w:bCs/>
          <w:color w:val="000000"/>
          <w:sz w:val="20"/>
          <w:szCs w:val="20"/>
        </w:rPr>
        <w:t>F730</w:t>
      </w:r>
    </w:p>
    <w:p w:rsidR="009164B1" w:rsidRDefault="009164B1" w:rsidP="002C6B76">
      <w:pPr>
        <w:autoSpaceDE w:val="0"/>
        <w:autoSpaceDN w:val="0"/>
        <w:adjustRightInd w:val="0"/>
        <w:rPr>
          <w:b/>
          <w:bCs/>
          <w:color w:val="000000"/>
          <w:sz w:val="20"/>
          <w:szCs w:val="20"/>
        </w:rPr>
      </w:pPr>
      <w:r>
        <w:rPr>
          <w:b/>
          <w:bCs/>
          <w:color w:val="000000"/>
          <w:sz w:val="20"/>
          <w:szCs w:val="20"/>
        </w:rPr>
        <w:t>Office Hours: _________</w:t>
      </w:r>
      <w:r w:rsidR="00F552EF">
        <w:rPr>
          <w:b/>
          <w:bCs/>
          <w:color w:val="000000"/>
          <w:sz w:val="20"/>
          <w:szCs w:val="20"/>
        </w:rPr>
        <w:t>___________________________</w:t>
      </w:r>
    </w:p>
    <w:p w:rsidR="001A33F0" w:rsidRDefault="009164B1" w:rsidP="001A33F0">
      <w:pPr>
        <w:autoSpaceDE w:val="0"/>
        <w:autoSpaceDN w:val="0"/>
        <w:adjustRightInd w:val="0"/>
        <w:rPr>
          <w:b/>
          <w:bCs/>
          <w:color w:val="000000"/>
          <w:sz w:val="20"/>
          <w:szCs w:val="20"/>
        </w:rPr>
      </w:pPr>
      <w:r>
        <w:rPr>
          <w:b/>
          <w:bCs/>
          <w:color w:val="000000"/>
          <w:sz w:val="20"/>
          <w:szCs w:val="20"/>
        </w:rPr>
        <w:tab/>
      </w:r>
    </w:p>
    <w:p w:rsidR="009164B1" w:rsidRPr="001A33F0" w:rsidRDefault="009164B1" w:rsidP="001A33F0">
      <w:pPr>
        <w:autoSpaceDE w:val="0"/>
        <w:autoSpaceDN w:val="0"/>
        <w:adjustRightInd w:val="0"/>
        <w:rPr>
          <w:b/>
          <w:bCs/>
          <w:color w:val="000000"/>
          <w:sz w:val="20"/>
          <w:szCs w:val="20"/>
        </w:rPr>
      </w:pPr>
      <w:r>
        <w:rPr>
          <w:b/>
          <w:bCs/>
          <w:color w:val="000000"/>
          <w:sz w:val="20"/>
          <w:szCs w:val="20"/>
        </w:rPr>
        <w:t xml:space="preserve">Course Description </w:t>
      </w:r>
      <w:r w:rsidR="006344B8">
        <w:rPr>
          <w:b/>
          <w:bCs/>
          <w:color w:val="000000"/>
          <w:sz w:val="20"/>
          <w:szCs w:val="20"/>
        </w:rPr>
        <w:t>–</w:t>
      </w:r>
      <w:r w:rsidRPr="00E90220">
        <w:rPr>
          <w:rFonts w:ascii="Arial" w:hAnsi="Arial" w:cs="Arial"/>
        </w:rPr>
        <w:t xml:space="preserve"> </w:t>
      </w:r>
      <w:r w:rsidR="00C03B15">
        <w:rPr>
          <w:color w:val="000000"/>
        </w:rPr>
        <w:t>Business and industry in the United States are surveyed broadly in this course. Emphasis is placed on the historical development, objectives, methods of operation, and the interrelationships of management, labor and government. Included is the study of new developments and trends in business administration and the problems they engender in the total management process.</w:t>
      </w:r>
    </w:p>
    <w:p w:rsidR="001A33F0" w:rsidRDefault="001A33F0" w:rsidP="002C6B76">
      <w:pPr>
        <w:rPr>
          <w:color w:val="000000"/>
          <w:sz w:val="22"/>
        </w:rPr>
      </w:pPr>
    </w:p>
    <w:p w:rsidR="009164B1" w:rsidRDefault="009164B1" w:rsidP="002C6B76">
      <w:pPr>
        <w:rPr>
          <w:sz w:val="22"/>
        </w:rPr>
      </w:pPr>
      <w:r>
        <w:rPr>
          <w:b/>
          <w:bCs/>
          <w:color w:val="000000"/>
          <w:sz w:val="20"/>
          <w:szCs w:val="20"/>
        </w:rPr>
        <w:t xml:space="preserve">Basic Skills </w:t>
      </w:r>
      <w:r w:rsidR="00C03B15">
        <w:rPr>
          <w:b/>
          <w:bCs/>
          <w:color w:val="000000"/>
          <w:sz w:val="20"/>
          <w:szCs w:val="20"/>
        </w:rPr>
        <w:t>–</w:t>
      </w:r>
      <w:r w:rsidRPr="00DC1FBF">
        <w:rPr>
          <w:rFonts w:ascii="Arial" w:hAnsi="Arial" w:cs="Arial"/>
        </w:rPr>
        <w:t xml:space="preserve"> </w:t>
      </w:r>
      <w:r w:rsidR="00C03B15">
        <w:rPr>
          <w:sz w:val="22"/>
        </w:rPr>
        <w:t>Familiarity with Word processing, email, Internet usage and research</w:t>
      </w:r>
      <w:r>
        <w:rPr>
          <w:sz w:val="22"/>
        </w:rPr>
        <w:t>.</w:t>
      </w:r>
    </w:p>
    <w:p w:rsidR="00C03B15" w:rsidRPr="00B878DC" w:rsidRDefault="00C03B15" w:rsidP="002C6B76">
      <w:pPr>
        <w:rPr>
          <w:sz w:val="22"/>
        </w:rPr>
      </w:pPr>
      <w:r w:rsidRPr="00C03B15">
        <w:rPr>
          <w:b/>
          <w:sz w:val="20"/>
        </w:rPr>
        <w:t>Prerequisites</w:t>
      </w:r>
      <w:r>
        <w:rPr>
          <w:sz w:val="22"/>
        </w:rPr>
        <w:t xml:space="preserve"> </w:t>
      </w:r>
      <w:r w:rsidRPr="00C03B15">
        <w:rPr>
          <w:b/>
          <w:sz w:val="22"/>
        </w:rPr>
        <w:t>-</w:t>
      </w:r>
      <w:r>
        <w:rPr>
          <w:sz w:val="22"/>
        </w:rPr>
        <w:t xml:space="preserve"> Students must have passed ENG 088, ESL 094, RDG 062, and MAT 010 or 011.</w:t>
      </w:r>
    </w:p>
    <w:tbl>
      <w:tblPr>
        <w:tblpPr w:leftFromText="180" w:rightFromText="180" w:vertAnchor="text" w:horzAnchor="margin" w:tblpY="4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5418"/>
      </w:tblGrid>
      <w:tr w:rsidR="009164B1" w:rsidRPr="008521AC" w:rsidTr="00694CB1">
        <w:tc>
          <w:tcPr>
            <w:tcW w:w="5580" w:type="dxa"/>
          </w:tcPr>
          <w:p w:rsidR="009164B1" w:rsidRPr="001A33F0" w:rsidRDefault="009164B1" w:rsidP="00694CB1">
            <w:pPr>
              <w:autoSpaceDE w:val="0"/>
              <w:autoSpaceDN w:val="0"/>
              <w:adjustRightInd w:val="0"/>
              <w:rPr>
                <w:b/>
                <w:bCs/>
                <w:color w:val="000000"/>
                <w:sz w:val="22"/>
              </w:rPr>
            </w:pPr>
            <w:r w:rsidRPr="001A33F0">
              <w:rPr>
                <w:b/>
                <w:bCs/>
                <w:color w:val="000000"/>
                <w:sz w:val="22"/>
              </w:rPr>
              <w:t>Course Student Learning Outcomes (Students will be able to…)</w:t>
            </w:r>
          </w:p>
        </w:tc>
        <w:tc>
          <w:tcPr>
            <w:tcW w:w="5418" w:type="dxa"/>
          </w:tcPr>
          <w:p w:rsidR="009164B1" w:rsidRPr="001A33F0" w:rsidRDefault="009164B1" w:rsidP="00694CB1">
            <w:pPr>
              <w:autoSpaceDE w:val="0"/>
              <w:autoSpaceDN w:val="0"/>
              <w:adjustRightInd w:val="0"/>
              <w:rPr>
                <w:b/>
                <w:bCs/>
                <w:color w:val="000000"/>
                <w:sz w:val="22"/>
              </w:rPr>
            </w:pPr>
            <w:r w:rsidRPr="001A33F0">
              <w:rPr>
                <w:b/>
                <w:bCs/>
                <w:color w:val="000000"/>
                <w:sz w:val="22"/>
              </w:rPr>
              <w:t>Measurements (means of assessment for student learning outcomes listed in first column)</w:t>
            </w:r>
          </w:p>
        </w:tc>
      </w:tr>
      <w:tr w:rsidR="0084286F" w:rsidRPr="008521AC" w:rsidTr="001A33F0">
        <w:trPr>
          <w:trHeight w:val="777"/>
        </w:trPr>
        <w:tc>
          <w:tcPr>
            <w:tcW w:w="5580" w:type="dxa"/>
            <w:tcBorders>
              <w:bottom w:val="single" w:sz="4" w:space="0" w:color="auto"/>
            </w:tcBorders>
          </w:tcPr>
          <w:p w:rsidR="0084286F" w:rsidRPr="001A33F0" w:rsidRDefault="0084286F" w:rsidP="001A33F0">
            <w:pPr>
              <w:tabs>
                <w:tab w:val="num" w:pos="270"/>
              </w:tabs>
              <w:ind w:left="270" w:hanging="270"/>
              <w:rPr>
                <w:color w:val="000000"/>
                <w:sz w:val="22"/>
              </w:rPr>
            </w:pPr>
            <w:r w:rsidRPr="001A33F0">
              <w:rPr>
                <w:b/>
                <w:color w:val="000000"/>
                <w:sz w:val="22"/>
              </w:rPr>
              <w:t>1</w:t>
            </w:r>
            <w:r w:rsidRPr="001A33F0">
              <w:rPr>
                <w:color w:val="000000"/>
                <w:sz w:val="22"/>
              </w:rPr>
              <w:t>.</w:t>
            </w:r>
            <w:r w:rsidR="00694CB1" w:rsidRPr="001A33F0">
              <w:rPr>
                <w:b/>
                <w:color w:val="000000"/>
                <w:sz w:val="22"/>
              </w:rPr>
              <w:t xml:space="preserve"> </w:t>
            </w:r>
            <w:r w:rsidR="00694CB1" w:rsidRPr="001A33F0">
              <w:rPr>
                <w:color w:val="000000"/>
                <w:sz w:val="22"/>
              </w:rPr>
              <w:t>Discuss business and economic activity including the importance of business ethics and the factors impacting business globally.</w:t>
            </w:r>
          </w:p>
        </w:tc>
        <w:tc>
          <w:tcPr>
            <w:tcW w:w="5418" w:type="dxa"/>
          </w:tcPr>
          <w:p w:rsidR="0084286F" w:rsidRPr="001A33F0" w:rsidRDefault="001A33F0" w:rsidP="00694CB1">
            <w:pPr>
              <w:ind w:left="54"/>
              <w:rPr>
                <w:b/>
                <w:color w:val="000000"/>
                <w:sz w:val="22"/>
              </w:rPr>
            </w:pPr>
            <w:r w:rsidRPr="001A33F0">
              <w:rPr>
                <w:bCs/>
                <w:color w:val="000000"/>
                <w:sz w:val="22"/>
              </w:rPr>
              <w:t>1.</w:t>
            </w:r>
            <w:r w:rsidRPr="001A33F0">
              <w:rPr>
                <w:color w:val="000000"/>
                <w:sz w:val="22"/>
              </w:rPr>
              <w:t xml:space="preserve"> Students will be able to discuss the primary resources as it relates to economic activities — measured through common test questions and graphical analysis.</w:t>
            </w:r>
            <w:r w:rsidR="0084286F" w:rsidRPr="001A33F0">
              <w:rPr>
                <w:color w:val="000000"/>
                <w:sz w:val="22"/>
              </w:rPr>
              <w:t xml:space="preserve"> </w:t>
            </w:r>
          </w:p>
        </w:tc>
      </w:tr>
      <w:tr w:rsidR="00694CB1" w:rsidRPr="008521AC" w:rsidTr="001A33F0">
        <w:trPr>
          <w:trHeight w:val="795"/>
        </w:trPr>
        <w:tc>
          <w:tcPr>
            <w:tcW w:w="5580" w:type="dxa"/>
            <w:tcBorders>
              <w:bottom w:val="single" w:sz="4" w:space="0" w:color="auto"/>
            </w:tcBorders>
          </w:tcPr>
          <w:p w:rsidR="00694CB1" w:rsidRPr="001A33F0" w:rsidRDefault="00694CB1" w:rsidP="001A33F0">
            <w:pPr>
              <w:rPr>
                <w:color w:val="000000"/>
                <w:sz w:val="22"/>
              </w:rPr>
            </w:pPr>
            <w:r w:rsidRPr="001A33F0">
              <w:rPr>
                <w:b/>
                <w:color w:val="000000"/>
                <w:sz w:val="22"/>
              </w:rPr>
              <w:t>2</w:t>
            </w:r>
            <w:r w:rsidRPr="001A33F0">
              <w:rPr>
                <w:color w:val="000000"/>
                <w:sz w:val="22"/>
              </w:rPr>
              <w:t xml:space="preserve">. Apply the decision making process to the different managerial functions in business. </w:t>
            </w:r>
          </w:p>
        </w:tc>
        <w:tc>
          <w:tcPr>
            <w:tcW w:w="5418" w:type="dxa"/>
          </w:tcPr>
          <w:p w:rsidR="00694CB1" w:rsidRPr="001A33F0" w:rsidRDefault="001A33F0" w:rsidP="00694CB1">
            <w:pPr>
              <w:rPr>
                <w:b/>
                <w:sz w:val="22"/>
                <w:u w:val="single"/>
              </w:rPr>
            </w:pPr>
            <w:r w:rsidRPr="001A33F0">
              <w:rPr>
                <w:rFonts w:eastAsia="SimSun" w:cs="Arial"/>
                <w:bCs/>
                <w:color w:val="000000"/>
                <w:kern w:val="1"/>
                <w:sz w:val="22"/>
              </w:rPr>
              <w:t xml:space="preserve">2. </w:t>
            </w:r>
            <w:r w:rsidRPr="001A33F0">
              <w:rPr>
                <w:rFonts w:eastAsia="SimSun"/>
                <w:kern w:val="1"/>
                <w:sz w:val="22"/>
              </w:rPr>
              <w:t>Students will identify problems/opportunities and describe potential solutions to different business cases using quantitative reasoning.</w:t>
            </w:r>
          </w:p>
        </w:tc>
      </w:tr>
      <w:tr w:rsidR="00694CB1" w:rsidRPr="008521AC" w:rsidTr="001A33F0">
        <w:trPr>
          <w:trHeight w:val="534"/>
        </w:trPr>
        <w:tc>
          <w:tcPr>
            <w:tcW w:w="5580" w:type="dxa"/>
            <w:tcBorders>
              <w:top w:val="single" w:sz="4" w:space="0" w:color="auto"/>
              <w:bottom w:val="single" w:sz="4" w:space="0" w:color="auto"/>
            </w:tcBorders>
          </w:tcPr>
          <w:p w:rsidR="00694CB1" w:rsidRPr="001A33F0" w:rsidRDefault="00694CB1" w:rsidP="001A33F0">
            <w:pPr>
              <w:ind w:left="360" w:hanging="360"/>
              <w:rPr>
                <w:color w:val="000000"/>
                <w:sz w:val="22"/>
              </w:rPr>
            </w:pPr>
            <w:r w:rsidRPr="001A33F0">
              <w:rPr>
                <w:color w:val="000000"/>
                <w:sz w:val="22"/>
              </w:rPr>
              <w:t> </w:t>
            </w:r>
            <w:r w:rsidRPr="001A33F0">
              <w:rPr>
                <w:b/>
                <w:color w:val="000000"/>
                <w:sz w:val="22"/>
              </w:rPr>
              <w:t>3</w:t>
            </w:r>
            <w:r w:rsidRPr="001A33F0">
              <w:rPr>
                <w:color w:val="000000"/>
                <w:sz w:val="22"/>
              </w:rPr>
              <w:t>. </w:t>
            </w:r>
            <w:r w:rsidRPr="001A33F0">
              <w:rPr>
                <w:rFonts w:eastAsia="SimSun"/>
                <w:kern w:val="1"/>
                <w:sz w:val="22"/>
              </w:rPr>
              <w:t xml:space="preserve"> </w:t>
            </w:r>
            <w:r w:rsidRPr="001A33F0">
              <w:rPr>
                <w:color w:val="000000"/>
                <w:sz w:val="22"/>
              </w:rPr>
              <w:t>Research an Industry or Career Alternative</w:t>
            </w:r>
          </w:p>
        </w:tc>
        <w:tc>
          <w:tcPr>
            <w:tcW w:w="5418" w:type="dxa"/>
          </w:tcPr>
          <w:p w:rsidR="00694CB1" w:rsidRPr="001A33F0" w:rsidRDefault="001A33F0" w:rsidP="001A33F0">
            <w:pPr>
              <w:rPr>
                <w:color w:val="000000"/>
                <w:sz w:val="22"/>
              </w:rPr>
            </w:pPr>
            <w:r w:rsidRPr="001A33F0">
              <w:rPr>
                <w:bCs/>
                <w:color w:val="000000"/>
                <w:sz w:val="22"/>
              </w:rPr>
              <w:t xml:space="preserve">3. </w:t>
            </w:r>
            <w:r w:rsidRPr="001A33F0">
              <w:rPr>
                <w:color w:val="000000"/>
                <w:sz w:val="22"/>
              </w:rPr>
              <w:t>Students will explore careers through Online search/ Career Assessment exercises/ Interviews/ Resume-building.</w:t>
            </w:r>
          </w:p>
        </w:tc>
      </w:tr>
    </w:tbl>
    <w:p w:rsidR="00A31CD1" w:rsidRDefault="00A31CD1" w:rsidP="002C6B76">
      <w:pPr>
        <w:autoSpaceDE w:val="0"/>
        <w:autoSpaceDN w:val="0"/>
        <w:adjustRightInd w:val="0"/>
        <w:rPr>
          <w:b/>
          <w:bCs/>
          <w:color w:val="000000"/>
          <w:sz w:val="22"/>
          <w:szCs w:val="20"/>
        </w:rPr>
      </w:pPr>
    </w:p>
    <w:p w:rsidR="0084286F" w:rsidRPr="0084286F" w:rsidRDefault="009164B1" w:rsidP="002C6B76">
      <w:pPr>
        <w:autoSpaceDE w:val="0"/>
        <w:autoSpaceDN w:val="0"/>
        <w:adjustRightInd w:val="0"/>
        <w:rPr>
          <w:b/>
          <w:bCs/>
          <w:color w:val="000000"/>
          <w:sz w:val="22"/>
          <w:szCs w:val="20"/>
        </w:rPr>
      </w:pPr>
      <w:r w:rsidRPr="0084286F">
        <w:rPr>
          <w:b/>
          <w:bCs/>
          <w:color w:val="000000"/>
          <w:sz w:val="22"/>
          <w:szCs w:val="20"/>
        </w:rPr>
        <w:t xml:space="preserve">Below are the college’s general education goals. The goals that are checked in the left-hand column indicate goals that will be covered and assessed in this course.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
        <w:gridCol w:w="5010"/>
        <w:gridCol w:w="4950"/>
      </w:tblGrid>
      <w:tr w:rsidR="001A33F0" w:rsidRPr="001A33F0" w:rsidTr="00CF0DEA">
        <w:tc>
          <w:tcPr>
            <w:tcW w:w="552" w:type="dxa"/>
            <w:shd w:val="clear" w:color="auto" w:fill="auto"/>
          </w:tcPr>
          <w:p w:rsidR="001A33F0" w:rsidRPr="001A33F0" w:rsidRDefault="001A33F0" w:rsidP="001A33F0">
            <w:pPr>
              <w:widowControl w:val="0"/>
              <w:suppressLineNumbers/>
              <w:suppressAutoHyphens/>
              <w:rPr>
                <w:rFonts w:eastAsia="SimSun" w:cs="Mangal"/>
                <w:kern w:val="1"/>
                <w:sz w:val="22"/>
                <w:lang w:eastAsia="zh-CN" w:bidi="hi-IN"/>
              </w:rPr>
            </w:pPr>
          </w:p>
        </w:tc>
        <w:tc>
          <w:tcPr>
            <w:tcW w:w="5010" w:type="dxa"/>
            <w:shd w:val="clear" w:color="auto" w:fill="auto"/>
            <w:vAlign w:val="bottom"/>
          </w:tcPr>
          <w:p w:rsidR="001A33F0" w:rsidRPr="001A33F0" w:rsidRDefault="001A33F0" w:rsidP="001A33F0">
            <w:pPr>
              <w:widowControl w:val="0"/>
              <w:suppressLineNumbers/>
              <w:suppressAutoHyphens/>
              <w:rPr>
                <w:rFonts w:eastAsia="SimSun" w:cs="Mangal"/>
                <w:b/>
                <w:bCs/>
                <w:kern w:val="1"/>
                <w:sz w:val="22"/>
                <w:lang w:eastAsia="zh-CN" w:bidi="hi-IN"/>
              </w:rPr>
            </w:pPr>
            <w:r w:rsidRPr="001A33F0">
              <w:rPr>
                <w:rFonts w:eastAsia="SimSun" w:cs="Mangal"/>
                <w:b/>
                <w:bCs/>
                <w:kern w:val="1"/>
                <w:sz w:val="22"/>
                <w:lang w:eastAsia="zh-CN" w:bidi="hi-IN"/>
              </w:rPr>
              <w:t>General Education Goals</w:t>
            </w:r>
          </w:p>
        </w:tc>
        <w:tc>
          <w:tcPr>
            <w:tcW w:w="4950" w:type="dxa"/>
            <w:shd w:val="clear" w:color="auto" w:fill="auto"/>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Measurements (means of assessment for general education goals listed in first column)</w:t>
            </w: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 xml:space="preserve">Communication Skills – </w:t>
            </w:r>
            <w:r w:rsidRPr="001A33F0">
              <w:rPr>
                <w:rFonts w:eastAsia="SimSun" w:cs="Mangal"/>
                <w:kern w:val="1"/>
                <w:sz w:val="22"/>
                <w:lang w:eastAsia="zh-CN" w:bidi="hi-IN"/>
              </w:rPr>
              <w:t>Students will write, read, listen and speak critically and effectively</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kern w:val="1"/>
                <w:sz w:val="22"/>
                <w:lang w:eastAsia="zh-CN" w:bidi="hi-IN"/>
              </w:rPr>
              <w:t>Measured via test questions, written assignments.</w:t>
            </w: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Quantitative Reasoning</w:t>
            </w:r>
            <w:r w:rsidRPr="001A33F0">
              <w:rPr>
                <w:rFonts w:eastAsia="SimSun" w:cs="Mangal"/>
                <w:kern w:val="1"/>
                <w:sz w:val="22"/>
                <w:lang w:eastAsia="zh-CN" w:bidi="hi-IN"/>
              </w:rPr>
              <w:t xml:space="preserve"> – Students will use quantitative skills and the concepts and methods of mathematics to solve problems</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kern w:val="1"/>
                <w:sz w:val="22"/>
                <w:lang w:eastAsia="zh-CN" w:bidi="hi-IN"/>
              </w:rPr>
              <w:t>Measured via questions and assignments related to decision-making</w:t>
            </w: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Scientific Reasoning</w:t>
            </w:r>
            <w:r w:rsidRPr="001A33F0">
              <w:rPr>
                <w:rFonts w:eastAsia="SimSun" w:cs="Mangal"/>
                <w:kern w:val="1"/>
                <w:sz w:val="22"/>
                <w:lang w:eastAsia="zh-CN" w:bidi="hi-IN"/>
              </w:rPr>
              <w:t xml:space="preserve"> – Students will understand and apply the concepts and methods of the natural sciences</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Social and Behavioral Sciences</w:t>
            </w:r>
            <w:r w:rsidRPr="001A33F0">
              <w:rPr>
                <w:rFonts w:eastAsia="SimSun" w:cs="Mangal"/>
                <w:kern w:val="1"/>
                <w:sz w:val="22"/>
                <w:lang w:eastAsia="zh-CN" w:bidi="hi-IN"/>
              </w:rPr>
              <w:t xml:space="preserve"> – Students will understand and apply the concepts and methods of the social sciences.</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Arts &amp; Humanities</w:t>
            </w:r>
            <w:r w:rsidRPr="001A33F0">
              <w:rPr>
                <w:rFonts w:eastAsia="SimSun" w:cs="Mangal"/>
                <w:kern w:val="1"/>
                <w:sz w:val="22"/>
                <w:lang w:eastAsia="zh-CN" w:bidi="hi-IN"/>
              </w:rPr>
              <w:t xml:space="preserve"> – Students will develop knowledge and understanding of the arts and literature.</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Information &amp; Technology Literacy</w:t>
            </w:r>
            <w:r w:rsidRPr="001A33F0">
              <w:rPr>
                <w:rFonts w:eastAsia="SimSun" w:cs="Mangal"/>
                <w:kern w:val="1"/>
                <w:sz w:val="22"/>
                <w:lang w:eastAsia="zh-CN" w:bidi="hi-IN"/>
              </w:rPr>
              <w:t xml:space="preserve"> – Students will collect, evaluate and interpret information and effectively use information technologies.</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kern w:val="1"/>
                <w:sz w:val="22"/>
                <w:lang w:eastAsia="zh-CN" w:bidi="hi-IN"/>
              </w:rPr>
              <w:t>Measured by assignments that require students to use web-based search engines and company websites</w:t>
            </w:r>
          </w:p>
        </w:tc>
      </w:tr>
      <w:tr w:rsidR="001A33F0" w:rsidRPr="001A33F0" w:rsidTr="00CF0DEA">
        <w:tc>
          <w:tcPr>
            <w:tcW w:w="552" w:type="dxa"/>
            <w:shd w:val="clear" w:color="auto" w:fill="auto"/>
            <w:vAlign w:val="center"/>
          </w:tcPr>
          <w:p w:rsidR="001A33F0" w:rsidRPr="001A33F0" w:rsidRDefault="001A33F0" w:rsidP="001A33F0">
            <w:pPr>
              <w:widowControl w:val="0"/>
              <w:suppressLineNumbers/>
              <w:suppressAutoHyphens/>
              <w:jc w:val="center"/>
              <w:rPr>
                <w:rFonts w:eastAsia="SimSun" w:cs="Mangal"/>
                <w:b/>
                <w:bCs/>
                <w:kern w:val="1"/>
                <w:sz w:val="22"/>
                <w:lang w:eastAsia="zh-CN" w:bidi="hi-IN"/>
              </w:rPr>
            </w:pPr>
            <w:r w:rsidRPr="001A33F0">
              <w:rPr>
                <w:rFonts w:ascii="Wingdings" w:eastAsia="Wingdings" w:hAnsi="Wingdings" w:cs="Wingdings"/>
                <w:kern w:val="1"/>
                <w:sz w:val="22"/>
                <w:lang w:eastAsia="zh-CN" w:bidi="hi-IN"/>
              </w:rPr>
              <w:t></w:t>
            </w:r>
          </w:p>
        </w:tc>
        <w:tc>
          <w:tcPr>
            <w:tcW w:w="501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b/>
                <w:bCs/>
                <w:kern w:val="1"/>
                <w:sz w:val="22"/>
                <w:lang w:eastAsia="zh-CN" w:bidi="hi-IN"/>
              </w:rPr>
              <w:t>Values</w:t>
            </w:r>
            <w:r w:rsidRPr="001A33F0">
              <w:rPr>
                <w:rFonts w:eastAsia="SimSun" w:cs="Mangal"/>
                <w:kern w:val="1"/>
                <w:sz w:val="22"/>
                <w:lang w:eastAsia="zh-CN" w:bidi="hi-IN"/>
              </w:rPr>
              <w:t xml:space="preserve"> – Students will make informed choices based on an understanding of personal values, human </w:t>
            </w:r>
            <w:r w:rsidRPr="001A33F0">
              <w:rPr>
                <w:rFonts w:eastAsia="SimSun" w:cs="Mangal"/>
                <w:kern w:val="1"/>
                <w:sz w:val="22"/>
                <w:lang w:eastAsia="zh-CN" w:bidi="hi-IN"/>
              </w:rPr>
              <w:lastRenderedPageBreak/>
              <w:t>diversity, multicultural awareness and social responsibility.</w:t>
            </w:r>
          </w:p>
        </w:tc>
        <w:tc>
          <w:tcPr>
            <w:tcW w:w="4950" w:type="dxa"/>
            <w:shd w:val="clear" w:color="auto" w:fill="auto"/>
            <w:vAlign w:val="center"/>
          </w:tcPr>
          <w:p w:rsidR="001A33F0" w:rsidRPr="001A33F0" w:rsidRDefault="001A33F0" w:rsidP="001A33F0">
            <w:pPr>
              <w:widowControl w:val="0"/>
              <w:suppressLineNumbers/>
              <w:suppressAutoHyphens/>
              <w:rPr>
                <w:rFonts w:eastAsia="SimSun" w:cs="Mangal"/>
                <w:kern w:val="1"/>
                <w:sz w:val="22"/>
                <w:lang w:eastAsia="zh-CN" w:bidi="hi-IN"/>
              </w:rPr>
            </w:pPr>
            <w:r w:rsidRPr="001A33F0">
              <w:rPr>
                <w:rFonts w:eastAsia="SimSun" w:cs="Mangal"/>
                <w:kern w:val="1"/>
                <w:sz w:val="22"/>
                <w:lang w:eastAsia="zh-CN" w:bidi="hi-IN"/>
              </w:rPr>
              <w:lastRenderedPageBreak/>
              <w:t xml:space="preserve">Measured via test questions and/or written assignments related to coursework on ethics and </w:t>
            </w:r>
            <w:r w:rsidRPr="001A33F0">
              <w:rPr>
                <w:rFonts w:eastAsia="SimSun" w:cs="Mangal"/>
                <w:kern w:val="1"/>
                <w:sz w:val="22"/>
                <w:lang w:eastAsia="zh-CN" w:bidi="hi-IN"/>
              </w:rPr>
              <w:lastRenderedPageBreak/>
              <w:t>human resources.</w:t>
            </w:r>
          </w:p>
        </w:tc>
      </w:tr>
    </w:tbl>
    <w:p w:rsidR="00B537C9" w:rsidRDefault="00B537C9">
      <w:pPr>
        <w:pStyle w:val="Heading3"/>
      </w:pPr>
    </w:p>
    <w:p w:rsidR="009164B1" w:rsidRDefault="009164B1">
      <w:pPr>
        <w:pStyle w:val="Heading3"/>
      </w:pPr>
      <w:r>
        <w:t>Required Text &amp; Readings</w:t>
      </w:r>
    </w:p>
    <w:p w:rsidR="00956266" w:rsidRDefault="00956266" w:rsidP="00956266">
      <w:pPr>
        <w:pStyle w:val="BodyText"/>
        <w:tabs>
          <w:tab w:val="right" w:pos="9857"/>
        </w:tabs>
        <w:autoSpaceDE w:val="0"/>
        <w:ind w:left="720" w:hanging="720"/>
      </w:pPr>
      <w:r>
        <w:t xml:space="preserve">Pride, William, Robert Hughes, and Jack Kapoor. 2013. </w:t>
      </w:r>
      <w:r>
        <w:rPr>
          <w:i/>
        </w:rPr>
        <w:t>Business 12ed</w:t>
      </w:r>
      <w:r>
        <w:t>. Cengage Learning. ISBN13:9781133595854 with MindTap</w:t>
      </w:r>
    </w:p>
    <w:p w:rsidR="00F34153" w:rsidRPr="00CF0DEA" w:rsidRDefault="00956266" w:rsidP="00CF0DEA">
      <w:pPr>
        <w:pStyle w:val="BodyText"/>
        <w:tabs>
          <w:tab w:val="right" w:pos="9857"/>
        </w:tabs>
        <w:autoSpaceDE w:val="0"/>
        <w:ind w:left="720" w:hanging="720"/>
        <w:rPr>
          <w:sz w:val="8"/>
          <w:szCs w:val="8"/>
        </w:rPr>
      </w:pPr>
      <w:r>
        <w:tab/>
        <w:t>http://www.cengagebrain.com/course/site.html?id=1-1NK80UJ</w:t>
      </w:r>
    </w:p>
    <w:p w:rsidR="00F34153" w:rsidRDefault="00F34153" w:rsidP="00F34153">
      <w:pPr>
        <w:pStyle w:val="DefaultText"/>
        <w:tabs>
          <w:tab w:val="left" w:pos="360"/>
        </w:tabs>
        <w:autoSpaceDE w:val="0"/>
        <w:ind w:left="720" w:hanging="720"/>
        <w:rPr>
          <w:sz w:val="8"/>
          <w:szCs w:val="8"/>
        </w:rPr>
      </w:pPr>
    </w:p>
    <w:p w:rsidR="00CF0DEA" w:rsidRPr="00CF0DEA" w:rsidRDefault="00CF0DEA" w:rsidP="00CF0DEA">
      <w:pPr>
        <w:keepNext/>
        <w:outlineLvl w:val="2"/>
        <w:rPr>
          <w:b/>
          <w:bCs/>
        </w:rPr>
      </w:pPr>
      <w:r w:rsidRPr="00CF0DEA">
        <w:rPr>
          <w:b/>
          <w:bCs/>
        </w:rPr>
        <w:t>Evaluation &amp; Requirements of Students</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6570"/>
      </w:tblGrid>
      <w:tr w:rsidR="00CF0DEA" w:rsidRPr="00CF0DEA" w:rsidTr="001F4FC3">
        <w:trPr>
          <w:trHeight w:val="863"/>
        </w:trPr>
        <w:tc>
          <w:tcPr>
            <w:tcW w:w="2700" w:type="dxa"/>
            <w:tcBorders>
              <w:top w:val="single" w:sz="4" w:space="0" w:color="auto"/>
              <w:bottom w:val="single" w:sz="4" w:space="0" w:color="auto"/>
              <w:right w:val="nil"/>
            </w:tcBorders>
          </w:tcPr>
          <w:p w:rsidR="00CF0DEA" w:rsidRPr="00CF0DEA" w:rsidRDefault="00CF0DEA" w:rsidP="00CF0DEA">
            <w:pPr>
              <w:rPr>
                <w:rFonts w:ascii="Times" w:hAnsi="Times" w:cs="Arial"/>
              </w:rPr>
            </w:pPr>
            <w:r w:rsidRPr="00CF0DEA">
              <w:rPr>
                <w:rFonts w:ascii="Times" w:hAnsi="Times" w:cs="Arial"/>
              </w:rPr>
              <w:t>A  : 95% and above</w:t>
            </w:r>
          </w:p>
          <w:p w:rsidR="00CF0DEA" w:rsidRPr="00CF0DEA" w:rsidRDefault="00CF0DEA" w:rsidP="00CF0DEA">
            <w:pPr>
              <w:rPr>
                <w:rFonts w:ascii="Times" w:hAnsi="Times" w:cs="Arial"/>
              </w:rPr>
            </w:pPr>
            <w:r w:rsidRPr="00CF0DEA">
              <w:rPr>
                <w:rFonts w:ascii="Times" w:hAnsi="Times" w:cs="Arial"/>
              </w:rPr>
              <w:t>B- : 80% – 83%</w:t>
            </w:r>
          </w:p>
          <w:p w:rsidR="00CF0DEA" w:rsidRPr="00CF0DEA" w:rsidRDefault="00CF0DEA" w:rsidP="00CF0DEA">
            <w:pPr>
              <w:rPr>
                <w:rFonts w:ascii="Times" w:hAnsi="Times" w:cs="Arial"/>
              </w:rPr>
            </w:pPr>
            <w:r w:rsidRPr="00CF0DEA">
              <w:rPr>
                <w:rFonts w:ascii="Times" w:hAnsi="Times" w:cs="Arial"/>
              </w:rPr>
              <w:t xml:space="preserve">D+: 67%  - 69% </w:t>
            </w:r>
          </w:p>
          <w:p w:rsidR="00CF0DEA" w:rsidRPr="00CF0DEA" w:rsidRDefault="00CF0DEA" w:rsidP="00CF0DEA">
            <w:pPr>
              <w:rPr>
                <w:rFonts w:ascii="Times" w:hAnsi="Times" w:cs="Arial"/>
              </w:rPr>
            </w:pPr>
          </w:p>
        </w:tc>
        <w:tc>
          <w:tcPr>
            <w:tcW w:w="6570" w:type="dxa"/>
            <w:tcBorders>
              <w:top w:val="single" w:sz="4" w:space="0" w:color="auto"/>
              <w:left w:val="nil"/>
              <w:bottom w:val="single" w:sz="4" w:space="0" w:color="auto"/>
            </w:tcBorders>
          </w:tcPr>
          <w:p w:rsidR="00CF0DEA" w:rsidRPr="00CF0DEA" w:rsidRDefault="00CF0DEA" w:rsidP="00CF0DEA">
            <w:pPr>
              <w:rPr>
                <w:rFonts w:ascii="Times" w:hAnsi="Times" w:cs="Arial"/>
              </w:rPr>
            </w:pPr>
            <w:r w:rsidRPr="00CF0DEA">
              <w:rPr>
                <w:rFonts w:ascii="Times" w:hAnsi="Times" w:cs="Arial"/>
              </w:rPr>
              <w:t xml:space="preserve"> A-: 90% – 94%                B+:87% – 89%             B  : 84% – 86%</w:t>
            </w:r>
          </w:p>
          <w:p w:rsidR="00CF0DEA" w:rsidRPr="00CF0DEA" w:rsidRDefault="00CF0DEA" w:rsidP="00CF0DEA">
            <w:pPr>
              <w:rPr>
                <w:rFonts w:ascii="Times" w:hAnsi="Times" w:cs="Arial"/>
              </w:rPr>
            </w:pPr>
            <w:r w:rsidRPr="00CF0DEA">
              <w:rPr>
                <w:rFonts w:ascii="Times" w:hAnsi="Times" w:cs="Arial"/>
              </w:rPr>
              <w:t>C+: 77% – 80%                C  : 74% – 78%            C- : 70% – 73%</w:t>
            </w:r>
          </w:p>
          <w:p w:rsidR="00CF0DEA" w:rsidRPr="00CF0DEA" w:rsidRDefault="00CF0DEA" w:rsidP="00CF0DEA">
            <w:pPr>
              <w:rPr>
                <w:rFonts w:ascii="Times" w:hAnsi="Times" w:cs="Arial"/>
              </w:rPr>
            </w:pPr>
            <w:r w:rsidRPr="00CF0DEA">
              <w:rPr>
                <w:rFonts w:ascii="Times" w:hAnsi="Times" w:cs="Arial"/>
              </w:rPr>
              <w:t>D  : 64% – 66%                D-: 60% – 63%             F  : Below 60%</w:t>
            </w:r>
          </w:p>
        </w:tc>
      </w:tr>
    </w:tbl>
    <w:p w:rsidR="00CF0DEA" w:rsidRDefault="00F34153" w:rsidP="00F34153">
      <w:pPr>
        <w:pStyle w:val="BodyText"/>
        <w:autoSpaceDE w:val="0"/>
        <w:ind w:left="720" w:hanging="720"/>
        <w:rPr>
          <w:color w:val="000000"/>
        </w:rPr>
      </w:pPr>
      <w:r>
        <w:rPr>
          <w:color w:val="000000"/>
        </w:rPr>
        <w:tab/>
      </w:r>
      <w:r>
        <w:rPr>
          <w:color w:val="000000"/>
        </w:rPr>
        <w:tab/>
      </w:r>
      <w:r>
        <w:rPr>
          <w:color w:val="000000"/>
        </w:rPr>
        <w:tab/>
      </w:r>
    </w:p>
    <w:p w:rsidR="00CF0DEA" w:rsidRDefault="00CF0DEA" w:rsidP="00F34153">
      <w:pPr>
        <w:pStyle w:val="BodyText"/>
        <w:autoSpaceDE w:val="0"/>
        <w:ind w:left="720" w:hanging="720"/>
        <w:rPr>
          <w:color w:val="000000"/>
        </w:rPr>
      </w:pPr>
    </w:p>
    <w:p w:rsidR="00CF0DEA" w:rsidRDefault="00CF0DEA" w:rsidP="00F34153">
      <w:pPr>
        <w:pStyle w:val="BodyText"/>
        <w:autoSpaceDE w:val="0"/>
        <w:ind w:left="720" w:hanging="720"/>
        <w:rPr>
          <w:color w:val="000000"/>
        </w:rPr>
      </w:pPr>
    </w:p>
    <w:p w:rsidR="00CF0DEA" w:rsidRDefault="00CF0DEA" w:rsidP="00F34153">
      <w:pPr>
        <w:pStyle w:val="BodyText"/>
        <w:autoSpaceDE w:val="0"/>
        <w:ind w:left="720" w:hanging="720"/>
        <w:rPr>
          <w:color w:val="000000"/>
        </w:rPr>
      </w:pPr>
    </w:p>
    <w:p w:rsidR="00CA7325" w:rsidRDefault="00F34153" w:rsidP="00F34153">
      <w:pPr>
        <w:pStyle w:val="BodyText"/>
        <w:autoSpaceDE w:val="0"/>
        <w:ind w:left="720" w:hanging="720"/>
        <w:rPr>
          <w:b/>
          <w:bCs/>
          <w:sz w:val="20"/>
          <w:szCs w:val="20"/>
        </w:rPr>
      </w:pPr>
      <w:r>
        <w:rPr>
          <w:color w:val="000000"/>
        </w:rPr>
        <w:tab/>
      </w:r>
    </w:p>
    <w:p w:rsidR="00F34153" w:rsidRDefault="00F34153" w:rsidP="00F34153">
      <w:pPr>
        <w:pStyle w:val="BodyText"/>
        <w:autoSpaceDE w:val="0"/>
        <w:ind w:left="720" w:hanging="720"/>
        <w:rPr>
          <w:b/>
          <w:bCs/>
          <w:sz w:val="20"/>
          <w:szCs w:val="20"/>
        </w:rPr>
      </w:pPr>
      <w:r>
        <w:rPr>
          <w:b/>
          <w:bCs/>
          <w:sz w:val="20"/>
          <w:szCs w:val="20"/>
        </w:rPr>
        <w:t>BMCC Policies:</w:t>
      </w:r>
    </w:p>
    <w:p w:rsidR="00F34153" w:rsidRDefault="00F34153" w:rsidP="00CA7325">
      <w:pPr>
        <w:pStyle w:val="BodyText"/>
        <w:autoSpaceDE w:val="0"/>
        <w:ind w:left="360"/>
        <w:rPr>
          <w:color w:val="000000"/>
          <w:sz w:val="10"/>
          <w:szCs w:val="10"/>
        </w:rPr>
      </w:pPr>
      <w:r>
        <w:rPr>
          <w:b/>
          <w:bCs/>
          <w:sz w:val="20"/>
          <w:szCs w:val="20"/>
        </w:rPr>
        <w:t>Attendance:</w:t>
      </w:r>
      <w:r>
        <w:rPr>
          <w:sz w:val="20"/>
          <w:szCs w:val="20"/>
        </w:rPr>
        <w:t xml:space="preserve"> The maximum number of absence hours is limited to one more class hour than the contact hours as indicated in the BMCC college catalog.  For this class, you are allowed four hours of absence (not four days).  In the case of excessive absence, the instructor has the option to lower the grade or assign an "F" or "WU" grade.  If you do not attend class at least once in the first weeks of the semester, the instructor is required to assign a grade of “WN.”  Classes begin promptly at the times indicated in the Schedule of Classes.  Arrival in classes after the scheduled start time constitutes lateness.  Latecomers may, at the discretion of the instructor, incur an official absence. The Business Management department policy is that two lateness will count as one absence.</w:t>
      </w:r>
    </w:p>
    <w:p w:rsidR="00F34153" w:rsidRDefault="00F34153" w:rsidP="00F34153">
      <w:pPr>
        <w:pStyle w:val="BodyText"/>
        <w:autoSpaceDE w:val="0"/>
        <w:ind w:left="720" w:hanging="720"/>
        <w:rPr>
          <w:color w:val="000000"/>
          <w:sz w:val="10"/>
          <w:szCs w:val="10"/>
        </w:rPr>
      </w:pPr>
    </w:p>
    <w:p w:rsidR="00F34153" w:rsidRDefault="00F34153" w:rsidP="00F34153">
      <w:pPr>
        <w:pStyle w:val="BodyText"/>
        <w:autoSpaceDE w:val="0"/>
        <w:ind w:left="360" w:hanging="360"/>
        <w:rPr>
          <w:color w:val="000000"/>
          <w:sz w:val="10"/>
          <w:szCs w:val="10"/>
        </w:rPr>
      </w:pPr>
      <w:r>
        <w:rPr>
          <w:b/>
          <w:bCs/>
          <w:sz w:val="20"/>
          <w:szCs w:val="20"/>
        </w:rPr>
        <w:t xml:space="preserve">Plagiarism: </w:t>
      </w:r>
      <w:r>
        <w:rPr>
          <w:sz w:val="20"/>
          <w:szCs w:val="20"/>
        </w:rPr>
        <w:t>Plagiarism is the presentation of someone else's ideas, words, or artistic/scientific/technical work as one's own creation. A student who copies or paraphrases published or on-line material, or another person's research, without properly identifying the source(s) is committing plagiarism. Plagiarism violates the ethical and academic standards of our college. Students will be held responsible for such violations, even when unintentional. To avoid unintended plagiarism, students should consult with their instructors about when and how to document their sources. The library also has both print and digital guides designed to help students cite sources correctly. Plagiarism carries a range of penalties commensurate with severity of the infraction. The instructor may, for example, require the work to be redone, reduce the course grade, fail the student in the course, or refer the case to the Faculty-Student Disciplinary Committee (see Article 15.4 of the Bylaws of the Board of Trustees). Cases referred to that committee could result in suspension or expulsion from the college.</w:t>
      </w:r>
    </w:p>
    <w:p w:rsidR="00F34153" w:rsidRDefault="00F34153" w:rsidP="00F34153">
      <w:pPr>
        <w:pStyle w:val="BodyText"/>
        <w:autoSpaceDE w:val="0"/>
        <w:ind w:left="720" w:hanging="720"/>
        <w:rPr>
          <w:color w:val="000000"/>
          <w:sz w:val="10"/>
          <w:szCs w:val="10"/>
        </w:rPr>
      </w:pPr>
    </w:p>
    <w:p w:rsidR="00F34153" w:rsidRDefault="00F34153" w:rsidP="00F34153">
      <w:pPr>
        <w:pStyle w:val="BodyText"/>
        <w:autoSpaceDE w:val="0"/>
        <w:ind w:left="360" w:hanging="360"/>
        <w:rPr>
          <w:sz w:val="20"/>
          <w:szCs w:val="20"/>
        </w:rPr>
      </w:pPr>
      <w:r>
        <w:rPr>
          <w:b/>
          <w:bCs/>
          <w:sz w:val="20"/>
          <w:szCs w:val="20"/>
        </w:rPr>
        <w:t>Disability:</w:t>
      </w:r>
      <w:r>
        <w:rPr>
          <w:sz w:val="20"/>
          <w:szCs w:val="20"/>
        </w:rPr>
        <w:t xml:space="preserve"> BMCC provides reasonable accommodations and modifications for students with disabilities to ensure that no student with a disability is denied the benefits of, is excluded from participation in, or otherwise is subjected to discrimination under the education program or activity operated by the College because of the absence of educational auxiliary aids for students with disabilities. Arrangements for adapting class procedures without compromising course content and standards may take time. Therefore, students who require accommodations or modifications should speak with me as soon as possible. I am available for you to talk with me before or after this class or during my office hours described above. In order to receive services, you must register with the Office of Accessibility (Room N-360, ext. 8180). Documentation is necessary for every disability. For more information concerning services for students with disabilities, please contact Marcos A Gonzalez, Director of the Office of Accessibility, Room N-360, phone number: 212-220-8180.</w:t>
      </w:r>
    </w:p>
    <w:p w:rsidR="00276A7C" w:rsidRDefault="00276A7C" w:rsidP="00F34153">
      <w:pPr>
        <w:pStyle w:val="BodyText"/>
        <w:autoSpaceDE w:val="0"/>
        <w:ind w:left="360" w:hanging="360"/>
        <w:rPr>
          <w:color w:val="000000"/>
          <w:sz w:val="10"/>
          <w:szCs w:val="10"/>
        </w:rPr>
      </w:pPr>
    </w:p>
    <w:p w:rsidR="00276A7C" w:rsidRDefault="00276A7C" w:rsidP="00276A7C">
      <w:pPr>
        <w:pStyle w:val="BodyText"/>
        <w:ind w:left="720" w:hanging="720"/>
        <w:jc w:val="center"/>
        <w:rPr>
          <w:b/>
          <w:color w:val="000000"/>
        </w:rPr>
      </w:pPr>
    </w:p>
    <w:p w:rsidR="00276A7C" w:rsidRPr="00BD0260" w:rsidRDefault="00276A7C" w:rsidP="00276A7C">
      <w:pPr>
        <w:pStyle w:val="BodyText"/>
        <w:ind w:left="720" w:hanging="720"/>
        <w:jc w:val="center"/>
        <w:rPr>
          <w:color w:val="000000"/>
        </w:rPr>
      </w:pPr>
      <w:r w:rsidRPr="00BD0260">
        <w:rPr>
          <w:b/>
          <w:color w:val="000000"/>
        </w:rPr>
        <w:t>Topic Coverage (minimum):</w:t>
      </w:r>
    </w:p>
    <w:p w:rsidR="00276A7C" w:rsidRPr="00276A7C" w:rsidRDefault="00276A7C" w:rsidP="00276A7C">
      <w:pPr>
        <w:pStyle w:val="BodyText"/>
        <w:rPr>
          <w:color w:val="000000"/>
          <w:sz w:val="24"/>
        </w:rPr>
      </w:pPr>
      <w:r w:rsidRPr="00BD0260">
        <w:rPr>
          <w:color w:val="000000"/>
        </w:rPr>
        <w:tab/>
      </w:r>
      <w:r w:rsidRPr="00276A7C">
        <w:rPr>
          <w:color w:val="000000"/>
          <w:sz w:val="24"/>
        </w:rPr>
        <w:t>Ethical and Socially Responsible</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Global Business</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Form of Business Ownership</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Management Process</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Organization Structure</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Human Resources</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lastRenderedPageBreak/>
        <w:tab/>
        <w:t>Motivation Employees</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Marketing (Introduction, 4P's, Advertising and Pricing in particular.  Social media if possible)</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Accounting (with discussion of MIS or IT. Break-even analysis if possible)</w:t>
      </w:r>
    </w:p>
    <w:p w:rsidR="00276A7C" w:rsidRPr="00276A7C" w:rsidRDefault="00276A7C" w:rsidP="00276A7C">
      <w:pPr>
        <w:pStyle w:val="BodyText"/>
        <w:rPr>
          <w:color w:val="000000"/>
          <w:sz w:val="24"/>
        </w:rPr>
      </w:pPr>
    </w:p>
    <w:p w:rsidR="00276A7C" w:rsidRPr="00276A7C" w:rsidRDefault="00276A7C" w:rsidP="00276A7C">
      <w:pPr>
        <w:pStyle w:val="BodyText"/>
        <w:rPr>
          <w:color w:val="000000"/>
          <w:sz w:val="24"/>
        </w:rPr>
      </w:pPr>
      <w:r w:rsidRPr="00276A7C">
        <w:rPr>
          <w:color w:val="000000"/>
          <w:sz w:val="24"/>
        </w:rPr>
        <w:tab/>
        <w:t>Money and Banking</w:t>
      </w:r>
    </w:p>
    <w:p w:rsidR="00276A7C" w:rsidRPr="00276A7C" w:rsidRDefault="00276A7C" w:rsidP="00276A7C">
      <w:pPr>
        <w:pStyle w:val="BodyText"/>
        <w:rPr>
          <w:color w:val="000000"/>
          <w:sz w:val="24"/>
        </w:rPr>
      </w:pPr>
    </w:p>
    <w:p w:rsidR="00276A7C" w:rsidRPr="00276A7C" w:rsidRDefault="00276A7C" w:rsidP="00276A7C">
      <w:pPr>
        <w:pStyle w:val="BodyText"/>
        <w:autoSpaceDE w:val="0"/>
        <w:ind w:left="360" w:hanging="360"/>
        <w:rPr>
          <w:color w:val="000000"/>
          <w:sz w:val="24"/>
        </w:rPr>
      </w:pPr>
      <w:r w:rsidRPr="00276A7C">
        <w:rPr>
          <w:color w:val="000000"/>
          <w:sz w:val="24"/>
        </w:rPr>
        <w:tab/>
      </w:r>
      <w:r>
        <w:rPr>
          <w:color w:val="000000"/>
          <w:sz w:val="24"/>
        </w:rPr>
        <w:tab/>
      </w:r>
      <w:r w:rsidRPr="00276A7C">
        <w:rPr>
          <w:color w:val="000000"/>
          <w:sz w:val="24"/>
        </w:rPr>
        <w:t>Financial Management (with Net Present Value if possible)</w:t>
      </w:r>
    </w:p>
    <w:p w:rsidR="00F34153" w:rsidRPr="00276A7C" w:rsidRDefault="00F34153" w:rsidP="00F34153">
      <w:pPr>
        <w:pStyle w:val="BodyText"/>
        <w:autoSpaceDE w:val="0"/>
        <w:ind w:left="720" w:hanging="720"/>
        <w:rPr>
          <w:color w:val="000000"/>
          <w:sz w:val="24"/>
        </w:rPr>
      </w:pPr>
    </w:p>
    <w:p w:rsidR="00956266" w:rsidRPr="00276A7C" w:rsidRDefault="00956266">
      <w:pPr>
        <w:pStyle w:val="Heading3"/>
      </w:pPr>
    </w:p>
    <w:sectPr w:rsidR="00956266" w:rsidRPr="00276A7C" w:rsidSect="00B537C9">
      <w:footerReference w:type="even" r:id="rId7"/>
      <w:foot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B2" w:rsidRDefault="00BB72B2">
      <w:r>
        <w:separator/>
      </w:r>
    </w:p>
  </w:endnote>
  <w:endnote w:type="continuationSeparator" w:id="0">
    <w:p w:rsidR="00BB72B2" w:rsidRDefault="00BB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B1" w:rsidRDefault="00916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164B1" w:rsidRDefault="00916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B1" w:rsidRDefault="00916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BDB">
      <w:rPr>
        <w:rStyle w:val="PageNumber"/>
        <w:noProof/>
      </w:rPr>
      <w:t>2</w:t>
    </w:r>
    <w:r>
      <w:rPr>
        <w:rStyle w:val="PageNumber"/>
      </w:rPr>
      <w:fldChar w:fldCharType="end"/>
    </w:r>
  </w:p>
  <w:p w:rsidR="009164B1" w:rsidRDefault="009164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B2" w:rsidRDefault="00BB72B2">
      <w:r>
        <w:separator/>
      </w:r>
    </w:p>
  </w:footnote>
  <w:footnote w:type="continuationSeparator" w:id="0">
    <w:p w:rsidR="00BB72B2" w:rsidRDefault="00BB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8"/>
        </w:tabs>
        <w:ind w:left="288" w:hanging="288"/>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F0714"/>
    <w:multiLevelType w:val="hybridMultilevel"/>
    <w:tmpl w:val="61EAD648"/>
    <w:lvl w:ilvl="0" w:tplc="C3FAD022">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1B333A5C"/>
    <w:multiLevelType w:val="hybridMultilevel"/>
    <w:tmpl w:val="103E7E7A"/>
    <w:lvl w:ilvl="0" w:tplc="2CFAEF82">
      <w:start w:val="12"/>
      <w:numFmt w:val="decimal"/>
      <w:lvlText w:val="%1"/>
      <w:lvlJc w:val="left"/>
      <w:pPr>
        <w:tabs>
          <w:tab w:val="num" w:pos="2880"/>
        </w:tabs>
        <w:ind w:left="2880" w:hanging="264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7"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A613C"/>
    <w:multiLevelType w:val="hybridMultilevel"/>
    <w:tmpl w:val="7EFCEB86"/>
    <w:lvl w:ilvl="0" w:tplc="1804BAE6">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6"/>
  </w:num>
  <w:num w:numId="4">
    <w:abstractNumId w:val="9"/>
  </w:num>
  <w:num w:numId="5">
    <w:abstractNumId w:val="12"/>
  </w:num>
  <w:num w:numId="6">
    <w:abstractNumId w:val="3"/>
  </w:num>
  <w:num w:numId="7">
    <w:abstractNumId w:val="7"/>
  </w:num>
  <w:num w:numId="8">
    <w:abstractNumId w:val="13"/>
  </w:num>
  <w:num w:numId="9">
    <w:abstractNumId w:val="10"/>
  </w:num>
  <w:num w:numId="10">
    <w:abstractNumId w:val="14"/>
  </w:num>
  <w:num w:numId="11">
    <w:abstractNumId w:val="1"/>
  </w:num>
  <w:num w:numId="12">
    <w:abstractNumId w:val="4"/>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CA"/>
    <w:rsid w:val="00012319"/>
    <w:rsid w:val="00020F56"/>
    <w:rsid w:val="00053C37"/>
    <w:rsid w:val="000A692C"/>
    <w:rsid w:val="000D67BE"/>
    <w:rsid w:val="000E5106"/>
    <w:rsid w:val="0010258A"/>
    <w:rsid w:val="00115323"/>
    <w:rsid w:val="00126073"/>
    <w:rsid w:val="001471F6"/>
    <w:rsid w:val="00183781"/>
    <w:rsid w:val="001919B4"/>
    <w:rsid w:val="001A33F0"/>
    <w:rsid w:val="001D5696"/>
    <w:rsid w:val="001F540E"/>
    <w:rsid w:val="001F78A5"/>
    <w:rsid w:val="00202F9C"/>
    <w:rsid w:val="00224818"/>
    <w:rsid w:val="00231184"/>
    <w:rsid w:val="00245E67"/>
    <w:rsid w:val="002504C4"/>
    <w:rsid w:val="00276A7C"/>
    <w:rsid w:val="00291999"/>
    <w:rsid w:val="002C6B76"/>
    <w:rsid w:val="0030142F"/>
    <w:rsid w:val="00302C20"/>
    <w:rsid w:val="00322668"/>
    <w:rsid w:val="003339B9"/>
    <w:rsid w:val="00343185"/>
    <w:rsid w:val="0034753B"/>
    <w:rsid w:val="0035768F"/>
    <w:rsid w:val="00357F3F"/>
    <w:rsid w:val="003624D2"/>
    <w:rsid w:val="003B364E"/>
    <w:rsid w:val="003B5278"/>
    <w:rsid w:val="003F0B3A"/>
    <w:rsid w:val="004013B5"/>
    <w:rsid w:val="004251CA"/>
    <w:rsid w:val="00477299"/>
    <w:rsid w:val="005318A4"/>
    <w:rsid w:val="00556BA9"/>
    <w:rsid w:val="00587A13"/>
    <w:rsid w:val="005C35E3"/>
    <w:rsid w:val="005C3608"/>
    <w:rsid w:val="005F214D"/>
    <w:rsid w:val="006121DC"/>
    <w:rsid w:val="00617132"/>
    <w:rsid w:val="00630158"/>
    <w:rsid w:val="006344B8"/>
    <w:rsid w:val="00634BAF"/>
    <w:rsid w:val="00694CB1"/>
    <w:rsid w:val="006A7085"/>
    <w:rsid w:val="006B673A"/>
    <w:rsid w:val="006C0D45"/>
    <w:rsid w:val="006E052B"/>
    <w:rsid w:val="006F148D"/>
    <w:rsid w:val="006F65D6"/>
    <w:rsid w:val="00722538"/>
    <w:rsid w:val="0073114F"/>
    <w:rsid w:val="007905AB"/>
    <w:rsid w:val="007A4143"/>
    <w:rsid w:val="007A5CC0"/>
    <w:rsid w:val="007C3C8A"/>
    <w:rsid w:val="007D2997"/>
    <w:rsid w:val="0080488F"/>
    <w:rsid w:val="0080567F"/>
    <w:rsid w:val="00807AF3"/>
    <w:rsid w:val="0084259F"/>
    <w:rsid w:val="0084286F"/>
    <w:rsid w:val="00843BE5"/>
    <w:rsid w:val="008521AC"/>
    <w:rsid w:val="00860C37"/>
    <w:rsid w:val="00881548"/>
    <w:rsid w:val="00895BDB"/>
    <w:rsid w:val="008B7E1C"/>
    <w:rsid w:val="008C5291"/>
    <w:rsid w:val="008E417B"/>
    <w:rsid w:val="008F4300"/>
    <w:rsid w:val="009164B1"/>
    <w:rsid w:val="009269DA"/>
    <w:rsid w:val="00931F7B"/>
    <w:rsid w:val="0095032C"/>
    <w:rsid w:val="009518B3"/>
    <w:rsid w:val="009558D1"/>
    <w:rsid w:val="00956266"/>
    <w:rsid w:val="00972035"/>
    <w:rsid w:val="00986D4E"/>
    <w:rsid w:val="009902DD"/>
    <w:rsid w:val="009A3B01"/>
    <w:rsid w:val="009A66AF"/>
    <w:rsid w:val="009B1DB6"/>
    <w:rsid w:val="009C1E7F"/>
    <w:rsid w:val="009E565F"/>
    <w:rsid w:val="00A31CD1"/>
    <w:rsid w:val="00A3413E"/>
    <w:rsid w:val="00A7589B"/>
    <w:rsid w:val="00A75C99"/>
    <w:rsid w:val="00A90E82"/>
    <w:rsid w:val="00A91AD5"/>
    <w:rsid w:val="00AA10FE"/>
    <w:rsid w:val="00AB6E38"/>
    <w:rsid w:val="00AD668C"/>
    <w:rsid w:val="00AE2985"/>
    <w:rsid w:val="00AF688B"/>
    <w:rsid w:val="00B142D3"/>
    <w:rsid w:val="00B20955"/>
    <w:rsid w:val="00B537C9"/>
    <w:rsid w:val="00B8260C"/>
    <w:rsid w:val="00B878DC"/>
    <w:rsid w:val="00BA5FEF"/>
    <w:rsid w:val="00BA6807"/>
    <w:rsid w:val="00BB4DE6"/>
    <w:rsid w:val="00BB72B2"/>
    <w:rsid w:val="00BC280A"/>
    <w:rsid w:val="00BE295B"/>
    <w:rsid w:val="00BF0F16"/>
    <w:rsid w:val="00C03B15"/>
    <w:rsid w:val="00C31816"/>
    <w:rsid w:val="00C4222B"/>
    <w:rsid w:val="00C62A79"/>
    <w:rsid w:val="00C753AA"/>
    <w:rsid w:val="00CA7325"/>
    <w:rsid w:val="00CB535E"/>
    <w:rsid w:val="00CE3013"/>
    <w:rsid w:val="00CF0DEA"/>
    <w:rsid w:val="00D14FF2"/>
    <w:rsid w:val="00D17E98"/>
    <w:rsid w:val="00D479B7"/>
    <w:rsid w:val="00D54A75"/>
    <w:rsid w:val="00D76002"/>
    <w:rsid w:val="00DB5A33"/>
    <w:rsid w:val="00DC1FBF"/>
    <w:rsid w:val="00DC619C"/>
    <w:rsid w:val="00DD4853"/>
    <w:rsid w:val="00DE7660"/>
    <w:rsid w:val="00E00F3B"/>
    <w:rsid w:val="00E248D5"/>
    <w:rsid w:val="00E26BDB"/>
    <w:rsid w:val="00E612C0"/>
    <w:rsid w:val="00E90220"/>
    <w:rsid w:val="00E96F44"/>
    <w:rsid w:val="00EA0D6F"/>
    <w:rsid w:val="00EB5B55"/>
    <w:rsid w:val="00EE35BB"/>
    <w:rsid w:val="00F06EA9"/>
    <w:rsid w:val="00F34153"/>
    <w:rsid w:val="00F552EF"/>
    <w:rsid w:val="00F57C4A"/>
    <w:rsid w:val="00F639AE"/>
    <w:rsid w:val="00FA52D4"/>
    <w:rsid w:val="00FB0946"/>
    <w:rsid w:val="00FC06B2"/>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5E3B9A9-6FDE-49F2-966C-2953492F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37"/>
    <w:rPr>
      <w:sz w:val="24"/>
      <w:szCs w:val="24"/>
    </w:rPr>
  </w:style>
  <w:style w:type="paragraph" w:styleId="Heading1">
    <w:name w:val="heading 1"/>
    <w:basedOn w:val="Normal"/>
    <w:next w:val="Normal"/>
    <w:link w:val="Heading1Char"/>
    <w:uiPriority w:val="99"/>
    <w:qFormat/>
    <w:rsid w:val="00053C37"/>
    <w:pPr>
      <w:keepNext/>
      <w:outlineLvl w:val="0"/>
    </w:pPr>
    <w:rPr>
      <w:b/>
      <w:bCs/>
      <w:sz w:val="20"/>
    </w:rPr>
  </w:style>
  <w:style w:type="paragraph" w:styleId="Heading2">
    <w:name w:val="heading 2"/>
    <w:basedOn w:val="Normal"/>
    <w:next w:val="Normal"/>
    <w:link w:val="Heading2Char"/>
    <w:uiPriority w:val="99"/>
    <w:qFormat/>
    <w:rsid w:val="00053C37"/>
    <w:pPr>
      <w:keepNext/>
      <w:outlineLvl w:val="1"/>
    </w:pPr>
    <w:rPr>
      <w:b/>
      <w:bCs/>
      <w:sz w:val="22"/>
      <w:u w:val="single"/>
    </w:rPr>
  </w:style>
  <w:style w:type="paragraph" w:styleId="Heading3">
    <w:name w:val="heading 3"/>
    <w:basedOn w:val="Normal"/>
    <w:next w:val="Normal"/>
    <w:link w:val="Heading3Char"/>
    <w:uiPriority w:val="99"/>
    <w:qFormat/>
    <w:rsid w:val="00053C3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6BA9"/>
    <w:rPr>
      <w:rFonts w:ascii="Cambria" w:hAnsi="Cambria" w:cs="Times New Roman"/>
      <w:b/>
      <w:bCs/>
      <w:kern w:val="32"/>
      <w:sz w:val="32"/>
      <w:szCs w:val="32"/>
    </w:rPr>
  </w:style>
  <w:style w:type="character" w:customStyle="1" w:styleId="Heading2Char">
    <w:name w:val="Heading 2 Char"/>
    <w:link w:val="Heading2"/>
    <w:uiPriority w:val="99"/>
    <w:semiHidden/>
    <w:locked/>
    <w:rsid w:val="00556BA9"/>
    <w:rPr>
      <w:rFonts w:ascii="Cambria" w:hAnsi="Cambria" w:cs="Times New Roman"/>
      <w:b/>
      <w:bCs/>
      <w:i/>
      <w:iCs/>
      <w:sz w:val="28"/>
      <w:szCs w:val="28"/>
    </w:rPr>
  </w:style>
  <w:style w:type="character" w:customStyle="1" w:styleId="Heading3Char">
    <w:name w:val="Heading 3 Char"/>
    <w:link w:val="Heading3"/>
    <w:uiPriority w:val="99"/>
    <w:semiHidden/>
    <w:locked/>
    <w:rsid w:val="00556BA9"/>
    <w:rPr>
      <w:rFonts w:ascii="Cambria" w:hAnsi="Cambria" w:cs="Times New Roman"/>
      <w:b/>
      <w:bCs/>
      <w:sz w:val="26"/>
      <w:szCs w:val="26"/>
    </w:rPr>
  </w:style>
  <w:style w:type="character" w:styleId="Hyperlink">
    <w:name w:val="Hyperlink"/>
    <w:uiPriority w:val="99"/>
    <w:rsid w:val="00053C37"/>
    <w:rPr>
      <w:rFonts w:cs="Times New Roman"/>
      <w:color w:val="0000FF"/>
      <w:u w:val="single"/>
    </w:rPr>
  </w:style>
  <w:style w:type="paragraph" w:styleId="Title">
    <w:name w:val="Title"/>
    <w:basedOn w:val="Normal"/>
    <w:link w:val="TitleChar"/>
    <w:uiPriority w:val="99"/>
    <w:qFormat/>
    <w:rsid w:val="00053C37"/>
    <w:pPr>
      <w:jc w:val="center"/>
    </w:pPr>
    <w:rPr>
      <w:b/>
      <w:bCs/>
    </w:rPr>
  </w:style>
  <w:style w:type="character" w:customStyle="1" w:styleId="TitleChar">
    <w:name w:val="Title Char"/>
    <w:link w:val="Title"/>
    <w:uiPriority w:val="99"/>
    <w:locked/>
    <w:rsid w:val="00556BA9"/>
    <w:rPr>
      <w:rFonts w:ascii="Cambria" w:hAnsi="Cambria" w:cs="Times New Roman"/>
      <w:b/>
      <w:bCs/>
      <w:kern w:val="28"/>
      <w:sz w:val="32"/>
      <w:szCs w:val="32"/>
    </w:rPr>
  </w:style>
  <w:style w:type="paragraph" w:styleId="BodyTextIndent">
    <w:name w:val="Body Text Indent"/>
    <w:basedOn w:val="Normal"/>
    <w:link w:val="BodyTextIndentChar"/>
    <w:uiPriority w:val="99"/>
    <w:rsid w:val="00053C37"/>
    <w:pPr>
      <w:ind w:left="492" w:hanging="492"/>
    </w:pPr>
    <w:rPr>
      <w:sz w:val="20"/>
    </w:rPr>
  </w:style>
  <w:style w:type="character" w:customStyle="1" w:styleId="BodyTextIndentChar">
    <w:name w:val="Body Text Indent Char"/>
    <w:link w:val="BodyTextIndent"/>
    <w:uiPriority w:val="99"/>
    <w:semiHidden/>
    <w:locked/>
    <w:rsid w:val="00556BA9"/>
    <w:rPr>
      <w:rFonts w:cs="Times New Roman"/>
      <w:sz w:val="24"/>
      <w:szCs w:val="24"/>
    </w:rPr>
  </w:style>
  <w:style w:type="paragraph" w:styleId="BodyText">
    <w:name w:val="Body Text"/>
    <w:basedOn w:val="Normal"/>
    <w:link w:val="BodyTextChar"/>
    <w:uiPriority w:val="99"/>
    <w:rsid w:val="00053C37"/>
    <w:rPr>
      <w:sz w:val="22"/>
    </w:rPr>
  </w:style>
  <w:style w:type="character" w:customStyle="1" w:styleId="BodyTextChar">
    <w:name w:val="Body Text Char"/>
    <w:link w:val="BodyText"/>
    <w:uiPriority w:val="99"/>
    <w:semiHidden/>
    <w:locked/>
    <w:rsid w:val="00556BA9"/>
    <w:rPr>
      <w:rFonts w:cs="Times New Roman"/>
      <w:sz w:val="24"/>
      <w:szCs w:val="24"/>
    </w:rPr>
  </w:style>
  <w:style w:type="paragraph" w:styleId="Caption">
    <w:name w:val="caption"/>
    <w:basedOn w:val="Normal"/>
    <w:next w:val="Normal"/>
    <w:qFormat/>
    <w:rsid w:val="00053C37"/>
    <w:rPr>
      <w:b/>
      <w:bCs/>
    </w:rPr>
  </w:style>
  <w:style w:type="paragraph" w:styleId="Footer">
    <w:name w:val="footer"/>
    <w:basedOn w:val="Normal"/>
    <w:link w:val="FooterChar"/>
    <w:uiPriority w:val="99"/>
    <w:rsid w:val="00053C37"/>
    <w:pPr>
      <w:tabs>
        <w:tab w:val="center" w:pos="4320"/>
        <w:tab w:val="right" w:pos="8640"/>
      </w:tabs>
    </w:pPr>
  </w:style>
  <w:style w:type="character" w:customStyle="1" w:styleId="FooterChar">
    <w:name w:val="Footer Char"/>
    <w:link w:val="Footer"/>
    <w:uiPriority w:val="99"/>
    <w:semiHidden/>
    <w:locked/>
    <w:rsid w:val="00556BA9"/>
    <w:rPr>
      <w:rFonts w:cs="Times New Roman"/>
      <w:sz w:val="24"/>
      <w:szCs w:val="24"/>
    </w:rPr>
  </w:style>
  <w:style w:type="character" w:styleId="PageNumber">
    <w:name w:val="page number"/>
    <w:uiPriority w:val="99"/>
    <w:rsid w:val="00053C37"/>
    <w:rPr>
      <w:rFonts w:cs="Times New Roman"/>
    </w:rPr>
  </w:style>
  <w:style w:type="paragraph" w:styleId="DocumentMap">
    <w:name w:val="Document Map"/>
    <w:basedOn w:val="Normal"/>
    <w:link w:val="DocumentMapChar"/>
    <w:uiPriority w:val="99"/>
    <w:rsid w:val="00972035"/>
    <w:rPr>
      <w:rFonts w:ascii="Tahoma" w:hAnsi="Tahoma" w:cs="Tahoma"/>
      <w:sz w:val="16"/>
      <w:szCs w:val="16"/>
    </w:rPr>
  </w:style>
  <w:style w:type="character" w:customStyle="1" w:styleId="DocumentMapChar">
    <w:name w:val="Document Map Char"/>
    <w:link w:val="DocumentMap"/>
    <w:uiPriority w:val="99"/>
    <w:locked/>
    <w:rsid w:val="00972035"/>
    <w:rPr>
      <w:rFonts w:ascii="Tahoma" w:hAnsi="Tahoma" w:cs="Tahoma"/>
      <w:sz w:val="16"/>
      <w:szCs w:val="16"/>
    </w:rPr>
  </w:style>
  <w:style w:type="paragraph" w:styleId="BalloonText">
    <w:name w:val="Balloon Text"/>
    <w:basedOn w:val="Normal"/>
    <w:link w:val="BalloonTextChar"/>
    <w:uiPriority w:val="99"/>
    <w:semiHidden/>
    <w:unhideWhenUsed/>
    <w:rsid w:val="00F552EF"/>
    <w:rPr>
      <w:rFonts w:ascii="Tahoma" w:hAnsi="Tahoma" w:cs="Tahoma"/>
      <w:sz w:val="16"/>
      <w:szCs w:val="16"/>
    </w:rPr>
  </w:style>
  <w:style w:type="character" w:customStyle="1" w:styleId="BalloonTextChar">
    <w:name w:val="Balloon Text Char"/>
    <w:basedOn w:val="DefaultParagraphFont"/>
    <w:link w:val="BalloonText"/>
    <w:uiPriority w:val="99"/>
    <w:semiHidden/>
    <w:rsid w:val="00F552EF"/>
    <w:rPr>
      <w:rFonts w:ascii="Tahoma" w:hAnsi="Tahoma" w:cs="Tahoma"/>
      <w:sz w:val="16"/>
      <w:szCs w:val="16"/>
    </w:rPr>
  </w:style>
  <w:style w:type="paragraph" w:customStyle="1" w:styleId="DefaultText">
    <w:name w:val="Default Text"/>
    <w:basedOn w:val="Normal"/>
    <w:rsid w:val="00F34153"/>
    <w:pPr>
      <w:widowControl w:val="0"/>
      <w:suppressAutoHyphens/>
    </w:pPr>
    <w:rPr>
      <w:rFonts w:eastAsia="SimSu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BOROUGH OF MANHATTAN COMMUNITY COLLEGE</vt:lpstr>
    </vt:vector>
  </TitlesOfParts>
  <Company>BMCC / CUNY</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MANHATTAN COMMUNITY COLLEGE</dc:title>
  <dc:creator>eleonardi</dc:creator>
  <cp:lastModifiedBy>Chanel J Coward</cp:lastModifiedBy>
  <cp:revision>2</cp:revision>
  <cp:lastPrinted>2016-08-10T17:53:00Z</cp:lastPrinted>
  <dcterms:created xsi:type="dcterms:W3CDTF">2016-08-10T17:54:00Z</dcterms:created>
  <dcterms:modified xsi:type="dcterms:W3CDTF">2016-08-10T17:54:00Z</dcterms:modified>
</cp:coreProperties>
</file>